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A9D64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02B5F3D">
      <w:pPr>
        <w:spacing w:before="120" w:after="120" w:line="288" w:lineRule="auto"/>
        <w:ind w:lef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新法落地・破局攻坚</w:t>
      </w:r>
    </w:p>
    <w:p w14:paraId="7CADBD1E">
      <w:pPr>
        <w:spacing w:before="120" w:after="120" w:line="288" w:lineRule="auto"/>
        <w:ind w:left="0"/>
        <w:jc w:val="center"/>
        <w:rPr>
          <w:rFonts w:hint="eastAsia" w:ascii="楷体" w:hAnsi="楷体" w:eastAsia="楷体" w:cs="楷体"/>
          <w:sz w:val="44"/>
          <w:szCs w:val="44"/>
        </w:rPr>
      </w:pPr>
      <w:r>
        <w:rPr>
          <w:rFonts w:hint="eastAsia" w:ascii="楷体" w:hAnsi="楷体" w:eastAsia="楷体" w:cs="楷体"/>
          <w:b/>
          <w:sz w:val="44"/>
          <w:szCs w:val="44"/>
          <w:lang w:eastAsia="zh-CN"/>
        </w:rPr>
        <w:t>—</w:t>
      </w:r>
      <w:r>
        <w:rPr>
          <w:rFonts w:hint="eastAsia" w:ascii="楷体" w:hAnsi="楷体" w:eastAsia="楷体" w:cs="楷体"/>
          <w:b/>
          <w:sz w:val="44"/>
          <w:szCs w:val="44"/>
        </w:rPr>
        <w:t>建筑业增值税全流程实操与</w:t>
      </w:r>
      <w:r>
        <w:rPr>
          <w:rFonts w:hint="eastAsia" w:ascii="楷体" w:hAnsi="楷体" w:eastAsia="楷体" w:cs="楷体"/>
          <w:b/>
          <w:sz w:val="44"/>
          <w:szCs w:val="44"/>
          <w:lang w:val="en-US" w:eastAsia="zh-CN"/>
        </w:rPr>
        <w:t>规</w:t>
      </w:r>
      <w:r>
        <w:rPr>
          <w:rFonts w:hint="eastAsia" w:ascii="楷体" w:hAnsi="楷体" w:eastAsia="楷体" w:cs="楷体"/>
          <w:b/>
          <w:sz w:val="44"/>
          <w:szCs w:val="44"/>
        </w:rPr>
        <w:t>划实战营</w:t>
      </w:r>
    </w:p>
    <w:p w14:paraId="442FC1F7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35CE3669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讲师简介</w:t>
      </w:r>
    </w:p>
    <w:p w14:paraId="188C29D6">
      <w:pPr>
        <w:ind w:left="0" w:leftChars="0"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李瑞，中央财经大学会计硕士，会计师、审计师、美国注册管理会计师（CMA）。多家大中型企业财务顾问，专注于建筑业、制造业财税领域，拥有丰富的现场及线上授课经验，多次主讲专场建筑业财税实操培训。</w:t>
      </w:r>
    </w:p>
    <w:p w14:paraId="75B618E3"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hint="eastAsia" w:ascii="Arial" w:hAnsi="Arial" w:eastAsia="等线" w:cs="Arial"/>
          <w:b/>
          <w:sz w:val="36"/>
          <w:lang w:val="en-US" w:eastAsia="zh-CN"/>
        </w:rPr>
        <w:t>第一部分：</w:t>
      </w:r>
      <w:r>
        <w:rPr>
          <w:rFonts w:ascii="Arial" w:hAnsi="Arial" w:eastAsia="等线" w:cs="Arial"/>
          <w:b/>
          <w:sz w:val="36"/>
        </w:rPr>
        <w:t>新法重塑·行业痛点——建筑增值税底层逻辑与风险防控</w:t>
      </w:r>
      <w:bookmarkEnd w:id="0"/>
    </w:p>
    <w:p w14:paraId="0095D1DC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hint="eastAsia" w:ascii="Arial" w:hAnsi="Arial" w:eastAsia="等线" w:cs="Arial"/>
          <w:b/>
          <w:sz w:val="32"/>
          <w:lang w:val="en-US" w:eastAsia="zh-CN"/>
        </w:rPr>
        <w:t>一、</w:t>
      </w:r>
      <w:r>
        <w:rPr>
          <w:rFonts w:ascii="Arial" w:hAnsi="Arial" w:eastAsia="等线" w:cs="Arial"/>
          <w:b/>
          <w:sz w:val="32"/>
        </w:rPr>
        <w:t>新法解读·新旧对比——看懂增值税法对建筑业的“底层重构”</w:t>
      </w:r>
      <w:bookmarkEnd w:id="1"/>
    </w:p>
    <w:p w14:paraId="312BD6A5">
      <w:pPr>
        <w:spacing w:before="300" w:after="120" w:line="288" w:lineRule="auto"/>
        <w:ind w:left="0"/>
        <w:jc w:val="left"/>
        <w:outlineLvl w:val="2"/>
      </w:pPr>
      <w:bookmarkStart w:id="2" w:name="heading_2"/>
      <w:r>
        <w:rPr>
          <w:rFonts w:ascii="Arial" w:hAnsi="Arial" w:eastAsia="等线" w:cs="Arial"/>
          <w:b/>
          <w:sz w:val="30"/>
        </w:rPr>
        <w:t>模块1：增值税法核心变化——建筑业的“新游戏规则”</w:t>
      </w:r>
      <w:bookmarkEnd w:id="2"/>
    </w:p>
    <w:p w14:paraId="369FC52D">
      <w:pPr>
        <w:spacing w:before="120" w:after="120" w:line="288" w:lineRule="auto"/>
        <w:ind w:left="0"/>
        <w:jc w:val="left"/>
        <w:rPr>
          <w:b/>
          <w:bCs/>
          <w:sz w:val="24"/>
          <w:szCs w:val="28"/>
        </w:rPr>
      </w:pPr>
      <w:r>
        <w:rPr>
          <w:rFonts w:ascii="Arial" w:hAnsi="Arial" w:eastAsia="等线" w:cs="Arial"/>
          <w:b/>
          <w:bCs/>
          <w:sz w:val="28"/>
          <w:szCs w:val="28"/>
        </w:rPr>
        <w:t>从“暂行条例”到“增值税法”：建筑业必须接住的3大核心变革</w:t>
      </w:r>
    </w:p>
    <w:p w14:paraId="1CEE64A5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22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内容：新法立法核心变化、税率/征收率稳定化、纳税义务时间重构、计税方法新规、视同销售/混合销售/兼营最新界定；甲供工程简易计税政策废止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等</w:t>
      </w:r>
    </w:p>
    <w:p w14:paraId="5886A6D1">
      <w:pPr>
        <w:spacing w:before="300" w:after="120" w:line="288" w:lineRule="auto"/>
        <w:ind w:left="0"/>
        <w:jc w:val="left"/>
        <w:outlineLvl w:val="2"/>
      </w:pPr>
      <w:bookmarkStart w:id="3" w:name="heading_3"/>
      <w:r>
        <w:rPr>
          <w:rFonts w:ascii="Arial" w:hAnsi="Arial" w:eastAsia="等线" w:cs="Arial"/>
          <w:b/>
          <w:sz w:val="30"/>
        </w:rPr>
        <w:t>模块2：建筑业计税方法选择——简易计税vs一般计税“生死抉择”</w:t>
      </w:r>
      <w:bookmarkEnd w:id="3"/>
    </w:p>
    <w:p w14:paraId="66829D6A">
      <w:pPr>
        <w:spacing w:before="120" w:after="120" w:line="288" w:lineRule="auto"/>
        <w:ind w:left="0"/>
        <w:jc w:val="left"/>
        <w:rPr>
          <w:rFonts w:ascii="Arial" w:hAnsi="Arial" w:eastAsia="等线" w:cs="Arial"/>
          <w:b/>
          <w:bCs/>
          <w:sz w:val="28"/>
          <w:szCs w:val="28"/>
        </w:rPr>
      </w:pPr>
      <w:r>
        <w:rPr>
          <w:rFonts w:ascii="Arial" w:hAnsi="Arial" w:eastAsia="等线" w:cs="Arial"/>
          <w:b/>
          <w:bCs/>
          <w:sz w:val="28"/>
          <w:szCs w:val="28"/>
        </w:rPr>
        <w:t>清包·老项目·甲供：新法下简易计税的“红线与绿灯”</w:t>
      </w:r>
    </w:p>
    <w:p w14:paraId="34810AFF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内容：新法配套政策中简易计税适用范围（仅清包工、老项目保留）、备案/资料留存、新签甲供项目一律9%一般计税、总包分包计税冲突</w:t>
      </w:r>
    </w:p>
    <w:p w14:paraId="4229BEAA">
      <w:pPr>
        <w:spacing w:before="300" w:after="120" w:line="288" w:lineRule="auto"/>
        <w:ind w:left="0"/>
        <w:jc w:val="left"/>
        <w:outlineLvl w:val="2"/>
        <w:rPr>
          <w:rFonts w:ascii="Arial" w:hAnsi="Arial" w:eastAsia="等线" w:cs="Arial"/>
          <w:b/>
          <w:sz w:val="30"/>
        </w:rPr>
      </w:pPr>
      <w:bookmarkStart w:id="4" w:name="heading_4"/>
      <w:r>
        <w:rPr>
          <w:rFonts w:ascii="Arial" w:hAnsi="Arial" w:eastAsia="等线" w:cs="Arial"/>
          <w:b/>
          <w:sz w:val="30"/>
        </w:rPr>
        <w:t>模块3：纳税义务发生时间——建筑业最容易“踩雷”的重灾区</w:t>
      </w:r>
      <w:bookmarkEnd w:id="4"/>
    </w:p>
    <w:p w14:paraId="1AA6472B">
      <w:pPr>
        <w:spacing w:before="120" w:after="120" w:line="288" w:lineRule="auto"/>
        <w:ind w:left="0"/>
        <w:jc w:val="left"/>
        <w:rPr>
          <w:rFonts w:ascii="Arial" w:hAnsi="Arial" w:eastAsia="等线" w:cs="Arial"/>
          <w:b/>
          <w:bCs/>
          <w:sz w:val="28"/>
          <w:szCs w:val="28"/>
        </w:rPr>
      </w:pPr>
      <w:r>
        <w:rPr>
          <w:rFonts w:ascii="Arial" w:hAnsi="Arial" w:eastAsia="等线" w:cs="Arial"/>
          <w:b/>
          <w:bCs/>
          <w:sz w:val="28"/>
          <w:szCs w:val="28"/>
        </w:rPr>
        <w:t>收款·开票·进度款：新法下“何时交税”才算对？</w:t>
      </w:r>
    </w:p>
    <w:p w14:paraId="750ACC35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内容：预收款、进度款、质保金、竣工结算、垫资施工的纳税时点新规；预收款预缴规则（一般计税2%、简易计税3%）</w:t>
      </w:r>
    </w:p>
    <w:p w14:paraId="57A1251A"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hint="eastAsia" w:ascii="Arial" w:hAnsi="Arial" w:eastAsia="等线" w:cs="Arial"/>
          <w:b/>
          <w:sz w:val="32"/>
          <w:lang w:val="en-US" w:eastAsia="zh-CN"/>
        </w:rPr>
        <w:t>二、</w:t>
      </w:r>
      <w:r>
        <w:rPr>
          <w:rFonts w:ascii="Arial" w:hAnsi="Arial" w:eastAsia="等线" w:cs="Arial"/>
          <w:b/>
          <w:sz w:val="32"/>
        </w:rPr>
        <w:t>行业痛点·实务攻坚——建筑全链条增值税疑难破解</w:t>
      </w:r>
      <w:bookmarkEnd w:id="5"/>
    </w:p>
    <w:p w14:paraId="61BDF1F6">
      <w:pPr>
        <w:spacing w:before="300" w:after="120" w:line="288" w:lineRule="auto"/>
        <w:ind w:left="0"/>
        <w:jc w:val="left"/>
        <w:outlineLvl w:val="2"/>
      </w:pPr>
      <w:bookmarkStart w:id="6" w:name="heading_6"/>
      <w:r>
        <w:rPr>
          <w:rFonts w:ascii="Arial" w:hAnsi="Arial" w:eastAsia="等线" w:cs="Arial"/>
          <w:b/>
          <w:sz w:val="30"/>
        </w:rPr>
        <w:t>模块4：异地施工与预缴——项目遍布全国的“预缴迷局”</w:t>
      </w:r>
      <w:bookmarkEnd w:id="6"/>
    </w:p>
    <w:p w14:paraId="1F37E5BF">
      <w:pPr>
        <w:spacing w:before="120" w:after="120" w:line="288" w:lineRule="auto"/>
        <w:ind w:left="0"/>
        <w:jc w:val="left"/>
        <w:rPr>
          <w:rFonts w:ascii="Arial" w:hAnsi="Arial" w:eastAsia="等线" w:cs="Arial"/>
          <w:b/>
          <w:bCs/>
          <w:sz w:val="28"/>
          <w:szCs w:val="28"/>
        </w:rPr>
      </w:pPr>
      <w:r>
        <w:rPr>
          <w:rFonts w:ascii="Arial" w:hAnsi="Arial" w:eastAsia="等线" w:cs="Arial"/>
          <w:b/>
          <w:bCs/>
          <w:sz w:val="28"/>
          <w:szCs w:val="28"/>
        </w:rPr>
        <w:t>跨区域经营：预缴地点、比例、差额扣除的实操全解</w:t>
      </w:r>
    </w:p>
    <w:p w14:paraId="10D836FC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内容：异地预缴范围、分包款差额扣除凭证、作废/红冲处理、预缴与申报衔接；电子税务局跨区域报验+预缴全流程</w:t>
      </w:r>
    </w:p>
    <w:p w14:paraId="19D1BAF9">
      <w:pPr>
        <w:spacing w:before="300" w:after="120" w:line="288" w:lineRule="auto"/>
        <w:ind w:left="0"/>
        <w:jc w:val="left"/>
        <w:outlineLvl w:val="2"/>
      </w:pPr>
      <w:bookmarkStart w:id="7" w:name="heading_7"/>
      <w:r>
        <w:rPr>
          <w:rFonts w:ascii="Arial" w:hAnsi="Arial" w:eastAsia="等线" w:cs="Arial"/>
          <w:b/>
          <w:sz w:val="30"/>
        </w:rPr>
        <w:t>模块5：进项抵扣——建筑企业“能抵、不能抵、难抵”三大困局</w:t>
      </w:r>
      <w:bookmarkEnd w:id="7"/>
    </w:p>
    <w:p w14:paraId="40FF5805">
      <w:pPr>
        <w:spacing w:before="120" w:after="120" w:line="288" w:lineRule="auto"/>
        <w:ind w:left="0"/>
        <w:jc w:val="left"/>
        <w:rPr>
          <w:rFonts w:ascii="Arial" w:hAnsi="Arial" w:eastAsia="等线" w:cs="Arial"/>
          <w:b/>
          <w:bCs/>
          <w:sz w:val="28"/>
          <w:szCs w:val="28"/>
        </w:rPr>
      </w:pPr>
      <w:r>
        <w:rPr>
          <w:rFonts w:ascii="Arial" w:hAnsi="Arial" w:eastAsia="等线" w:cs="Arial"/>
          <w:b/>
          <w:bCs/>
          <w:sz w:val="28"/>
          <w:szCs w:val="28"/>
        </w:rPr>
        <w:t>材料·机械·劳务·租赁：新法下进项抵扣的“真假边界”</w:t>
      </w:r>
    </w:p>
    <w:p w14:paraId="6E511A1C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内容：苗木、砂石、商混、租赁费、劳务分包、福利费/简易计税项目进项转出；进项抵扣凭证合规要求</w:t>
      </w:r>
    </w:p>
    <w:p w14:paraId="6B9FE1AE">
      <w:pPr>
        <w:spacing w:before="300" w:after="120" w:line="288" w:lineRule="auto"/>
        <w:ind w:left="0"/>
        <w:jc w:val="left"/>
        <w:outlineLvl w:val="2"/>
      </w:pPr>
      <w:bookmarkStart w:id="8" w:name="heading_8"/>
      <w:r>
        <w:rPr>
          <w:rFonts w:ascii="Arial" w:hAnsi="Arial" w:eastAsia="等线" w:cs="Arial"/>
          <w:b/>
          <w:sz w:val="30"/>
        </w:rPr>
        <w:t>模块6：发票管理与风险——虚开、缺票、滞留票的生死线</w:t>
      </w:r>
      <w:bookmarkEnd w:id="8"/>
    </w:p>
    <w:p w14:paraId="05120471">
      <w:pPr>
        <w:spacing w:before="120" w:after="120" w:line="288" w:lineRule="auto"/>
        <w:ind w:left="0"/>
        <w:jc w:val="left"/>
        <w:rPr>
          <w:rFonts w:ascii="Arial" w:hAnsi="Arial" w:eastAsia="等线" w:cs="Arial"/>
          <w:b/>
          <w:bCs/>
          <w:sz w:val="28"/>
          <w:szCs w:val="28"/>
        </w:rPr>
      </w:pPr>
      <w:r>
        <w:rPr>
          <w:rFonts w:ascii="Arial" w:hAnsi="Arial" w:eastAsia="等线" w:cs="Arial"/>
          <w:b/>
          <w:bCs/>
          <w:sz w:val="28"/>
          <w:szCs w:val="28"/>
        </w:rPr>
        <w:t>建筑业发票乱象：三流一致、异常凭证、挂靠开票风险防控</w:t>
      </w:r>
    </w:p>
    <w:p w14:paraId="5B1D04ED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内容：挂靠经营开票风险、劳务发票合规、材料发票虚开识别、异常凭证应对；发票备注栏强制规范（服务发生地+项目全称）</w:t>
      </w:r>
    </w:p>
    <w:p w14:paraId="308DFD56">
      <w:pPr>
        <w:spacing w:before="380" w:after="140" w:line="288" w:lineRule="auto"/>
        <w:ind w:left="0"/>
        <w:jc w:val="left"/>
        <w:outlineLvl w:val="0"/>
      </w:pPr>
      <w:bookmarkStart w:id="9" w:name="heading_9"/>
      <w:r>
        <w:rPr>
          <w:rFonts w:ascii="Arial" w:hAnsi="Arial" w:eastAsia="等线" w:cs="Arial"/>
          <w:b/>
          <w:sz w:val="36"/>
        </w:rPr>
        <w:t>第二</w:t>
      </w:r>
      <w:r>
        <w:rPr>
          <w:rFonts w:hint="eastAsia" w:ascii="Arial" w:hAnsi="Arial" w:eastAsia="等线" w:cs="Arial"/>
          <w:b/>
          <w:sz w:val="36"/>
          <w:lang w:val="en-US" w:eastAsia="zh-CN"/>
        </w:rPr>
        <w:t>部分</w:t>
      </w:r>
      <w:r>
        <w:rPr>
          <w:rFonts w:ascii="Arial" w:hAnsi="Arial" w:eastAsia="等线" w:cs="Arial"/>
          <w:b/>
          <w:sz w:val="36"/>
        </w:rPr>
        <w:t>：筹划落地·降本增效——合法合规节税与全流程管控</w:t>
      </w:r>
      <w:bookmarkEnd w:id="9"/>
    </w:p>
    <w:p w14:paraId="1DB6B949">
      <w:pPr>
        <w:spacing w:before="320" w:after="120" w:line="288" w:lineRule="auto"/>
        <w:ind w:left="0"/>
        <w:jc w:val="left"/>
        <w:outlineLvl w:val="1"/>
      </w:pPr>
      <w:bookmarkStart w:id="10" w:name="heading_10"/>
      <w:r>
        <w:rPr>
          <w:rFonts w:hint="eastAsia" w:ascii="Arial" w:hAnsi="Arial" w:eastAsia="等线" w:cs="Arial"/>
          <w:b/>
          <w:sz w:val="32"/>
          <w:lang w:val="en-US" w:eastAsia="zh-CN"/>
        </w:rPr>
        <w:t>三、合规计划</w:t>
      </w:r>
      <w:r>
        <w:rPr>
          <w:rFonts w:ascii="Arial" w:hAnsi="Arial" w:eastAsia="等线" w:cs="Arial"/>
          <w:b/>
          <w:sz w:val="32"/>
        </w:rPr>
        <w:t>·合法节税——建筑行业可落地的</w:t>
      </w:r>
      <w:r>
        <w:rPr>
          <w:rFonts w:hint="eastAsia" w:ascii="Arial" w:hAnsi="Arial" w:eastAsia="等线" w:cs="Arial"/>
          <w:b/>
          <w:sz w:val="32"/>
          <w:lang w:val="en-US" w:eastAsia="zh-CN"/>
        </w:rPr>
        <w:t>规</w:t>
      </w:r>
      <w:r>
        <w:rPr>
          <w:rFonts w:ascii="Arial" w:hAnsi="Arial" w:eastAsia="等线" w:cs="Arial"/>
          <w:b/>
          <w:sz w:val="32"/>
        </w:rPr>
        <w:t>划方案</w:t>
      </w:r>
      <w:bookmarkEnd w:id="10"/>
    </w:p>
    <w:p w14:paraId="1E76F17B">
      <w:pPr>
        <w:spacing w:before="300" w:after="120" w:line="288" w:lineRule="auto"/>
        <w:ind w:left="0"/>
        <w:jc w:val="left"/>
        <w:outlineLvl w:val="2"/>
      </w:pPr>
      <w:bookmarkStart w:id="11" w:name="heading_11"/>
      <w:r>
        <w:rPr>
          <w:rFonts w:ascii="Arial" w:hAnsi="Arial" w:eastAsia="等线" w:cs="Arial"/>
          <w:b/>
          <w:sz w:val="30"/>
        </w:rPr>
        <w:t>模块7：合同控税——从源头决定税负的“第一筹划”</w:t>
      </w:r>
      <w:bookmarkEnd w:id="11"/>
    </w:p>
    <w:p w14:paraId="14340A56">
      <w:pPr>
        <w:spacing w:before="120" w:after="120" w:line="288" w:lineRule="auto"/>
        <w:ind w:left="0"/>
        <w:jc w:val="left"/>
        <w:rPr>
          <w:rFonts w:ascii="Arial" w:hAnsi="Arial" w:eastAsia="等线" w:cs="Arial"/>
          <w:b/>
          <w:bCs/>
          <w:sz w:val="28"/>
          <w:szCs w:val="28"/>
        </w:rPr>
      </w:pPr>
      <w:r>
        <w:rPr>
          <w:rFonts w:ascii="Arial" w:hAnsi="Arial" w:eastAsia="等线" w:cs="Arial"/>
          <w:b/>
          <w:bCs/>
          <w:sz w:val="28"/>
          <w:szCs w:val="28"/>
        </w:rPr>
        <w:t>合同一句话，税负差百万：建筑合同增值税条款设计</w:t>
      </w:r>
    </w:p>
    <w:p w14:paraId="57976059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内容：价款含税/不含税、甲供材条款、分包约定、质保金、违约金、运输费条款；甲供合同拆分实操</w:t>
      </w:r>
    </w:p>
    <w:p w14:paraId="6F367602">
      <w:pPr>
        <w:spacing w:before="300" w:after="120" w:line="288" w:lineRule="auto"/>
        <w:ind w:left="0"/>
        <w:jc w:val="left"/>
        <w:outlineLvl w:val="2"/>
      </w:pPr>
      <w:bookmarkStart w:id="12" w:name="heading_12"/>
      <w:r>
        <w:rPr>
          <w:rFonts w:ascii="Arial" w:hAnsi="Arial" w:eastAsia="等线" w:cs="Arial"/>
          <w:b/>
          <w:sz w:val="30"/>
        </w:rPr>
        <w:t>模块8：分包、劳务、供应链筹划——架构优化降税负</w:t>
      </w:r>
      <w:bookmarkEnd w:id="12"/>
    </w:p>
    <w:p w14:paraId="6C51CE27">
      <w:pPr>
        <w:spacing w:before="120" w:after="120" w:line="288" w:lineRule="auto"/>
        <w:ind w:left="0"/>
        <w:jc w:val="left"/>
        <w:rPr>
          <w:rFonts w:ascii="Arial" w:hAnsi="Arial" w:eastAsia="等线" w:cs="Arial"/>
          <w:b/>
          <w:bCs/>
          <w:sz w:val="28"/>
          <w:szCs w:val="28"/>
        </w:rPr>
      </w:pPr>
      <w:r>
        <w:rPr>
          <w:rFonts w:ascii="Arial" w:hAnsi="Arial" w:eastAsia="等线" w:cs="Arial"/>
          <w:b/>
          <w:bCs/>
          <w:sz w:val="28"/>
          <w:szCs w:val="28"/>
        </w:rPr>
        <w:t>分包链·劳务链·材料链：建筑业增值税“链条式筹划”</w:t>
      </w:r>
    </w:p>
    <w:p w14:paraId="56722AB5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内容：劳务公司模式、专业分包、混合销售拆分、供应链集中采购；劳务发票编码规范（统一“建筑服务”）</w:t>
      </w:r>
    </w:p>
    <w:p w14:paraId="6D1F738C">
      <w:pPr>
        <w:spacing w:before="300" w:after="120" w:line="288" w:lineRule="auto"/>
        <w:ind w:left="0"/>
        <w:jc w:val="left"/>
        <w:outlineLvl w:val="2"/>
      </w:pPr>
      <w:bookmarkStart w:id="13" w:name="heading_13"/>
      <w:r>
        <w:rPr>
          <w:rFonts w:ascii="Arial" w:hAnsi="Arial" w:eastAsia="等线" w:cs="Arial"/>
          <w:b/>
          <w:sz w:val="30"/>
        </w:rPr>
        <w:t>模块9：特殊业务筹划——EPC、联合体、PPP、装配式建筑</w:t>
      </w:r>
      <w:bookmarkEnd w:id="13"/>
    </w:p>
    <w:p w14:paraId="15CC8957">
      <w:pPr>
        <w:spacing w:before="120" w:after="120" w:line="288" w:lineRule="auto"/>
        <w:ind w:left="0"/>
        <w:jc w:val="left"/>
        <w:rPr>
          <w:rFonts w:ascii="Arial" w:hAnsi="Arial" w:eastAsia="等线" w:cs="Arial"/>
          <w:b/>
          <w:bCs/>
          <w:sz w:val="28"/>
          <w:szCs w:val="28"/>
        </w:rPr>
      </w:pPr>
      <w:r>
        <w:rPr>
          <w:rFonts w:ascii="Arial" w:hAnsi="Arial" w:eastAsia="等线" w:cs="Arial"/>
          <w:b/>
          <w:bCs/>
          <w:sz w:val="28"/>
          <w:szCs w:val="28"/>
        </w:rPr>
        <w:t>EPC/联合体/PPP：复杂项目增值税“一盘棋筹划”</w:t>
      </w:r>
    </w:p>
    <w:p w14:paraId="1BDF650E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内容：总包分包拆分、不同税率业务划分、PPP项目纳税与抵扣难点；特殊项目计税口径</w:t>
      </w:r>
    </w:p>
    <w:p w14:paraId="1C41B3B6">
      <w:pPr>
        <w:spacing w:before="320" w:after="120" w:line="288" w:lineRule="auto"/>
        <w:ind w:left="0"/>
        <w:jc w:val="left"/>
        <w:outlineLvl w:val="1"/>
        <w:rPr>
          <w:rFonts w:hint="eastAsia" w:ascii="Arial" w:hAnsi="Arial" w:eastAsia="等线" w:cs="Arial"/>
          <w:b/>
          <w:sz w:val="32"/>
          <w:lang w:val="en-US" w:eastAsia="zh-CN"/>
        </w:rPr>
      </w:pPr>
      <w:r>
        <w:rPr>
          <w:rFonts w:hint="eastAsia" w:ascii="Arial" w:hAnsi="Arial" w:eastAsia="等线" w:cs="Arial"/>
          <w:b/>
          <w:sz w:val="32"/>
          <w:lang w:val="en-US" w:eastAsia="zh-CN"/>
        </w:rPr>
        <w:t>四、风险管控・稽查应对 —— 新法下建筑财税闭环管理</w:t>
      </w:r>
    </w:p>
    <w:p w14:paraId="31E2FC57">
      <w:pPr>
        <w:spacing w:before="300" w:after="120" w:line="288" w:lineRule="auto"/>
        <w:ind w:left="0"/>
        <w:jc w:val="left"/>
        <w:outlineLvl w:val="2"/>
        <w:rPr>
          <w:rFonts w:hint="eastAsia" w:ascii="Arial" w:hAnsi="Arial" w:eastAsia="等线" w:cs="Arial"/>
          <w:b/>
          <w:sz w:val="30"/>
        </w:rPr>
      </w:pPr>
      <w:r>
        <w:rPr>
          <w:rFonts w:hint="eastAsia" w:ascii="Arial" w:hAnsi="Arial" w:eastAsia="等线" w:cs="Arial"/>
          <w:b/>
          <w:sz w:val="30"/>
        </w:rPr>
        <w:t>模块 10：质保金、预收款、留抵退税 —— 新政红利与风险</w:t>
      </w:r>
    </w:p>
    <w:p w14:paraId="565A9C8F">
      <w:pPr>
        <w:spacing w:before="120" w:after="120" w:line="288" w:lineRule="auto"/>
        <w:ind w:left="0"/>
        <w:jc w:val="left"/>
        <w:rPr>
          <w:rFonts w:hint="eastAsia" w:ascii="Arial" w:hAnsi="Arial" w:eastAsia="等线" w:cs="Arial"/>
          <w:b/>
          <w:bCs/>
          <w:sz w:val="28"/>
          <w:szCs w:val="28"/>
        </w:rPr>
      </w:pPr>
      <w:r>
        <w:rPr>
          <w:rFonts w:hint="eastAsia" w:ascii="Arial" w:hAnsi="Arial" w:eastAsia="等线" w:cs="Arial"/>
          <w:b/>
          <w:bCs/>
          <w:sz w:val="28"/>
          <w:szCs w:val="28"/>
        </w:rPr>
        <w:t>留抵退税、质保金、预收款：红利要用对，风险要避开</w:t>
      </w:r>
    </w:p>
    <w:p w14:paraId="5E09FAC3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内容：</w:t>
      </w:r>
      <w:r>
        <w:rPr>
          <w:rFonts w:hint="eastAsia" w:ascii="仿宋" w:hAnsi="仿宋" w:eastAsia="仿宋" w:cs="仿宋"/>
          <w:sz w:val="24"/>
          <w:szCs w:val="24"/>
        </w:rPr>
        <w:t>留抵退税条件与行业风险、质保金开票与纳税、预收款税务处理</w:t>
      </w:r>
    </w:p>
    <w:p w14:paraId="108B8FFE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呈现：退税风险自查表、案例警示</w:t>
      </w:r>
    </w:p>
    <w:p w14:paraId="33347B67">
      <w:pPr>
        <w:spacing w:before="300" w:after="120" w:line="288" w:lineRule="auto"/>
        <w:ind w:left="0"/>
        <w:jc w:val="left"/>
        <w:outlineLvl w:val="2"/>
        <w:rPr>
          <w:rFonts w:hint="eastAsia" w:ascii="Arial" w:hAnsi="Arial" w:eastAsia="等线" w:cs="Arial"/>
          <w:b/>
          <w:sz w:val="30"/>
        </w:rPr>
      </w:pPr>
      <w:r>
        <w:rPr>
          <w:rFonts w:hint="eastAsia" w:ascii="Arial" w:hAnsi="Arial" w:eastAsia="等线" w:cs="Arial"/>
          <w:b/>
          <w:sz w:val="30"/>
        </w:rPr>
        <w:t>模块 11：挂靠、联营、内部承包 —— 高风险模式税务合规</w:t>
      </w:r>
    </w:p>
    <w:p w14:paraId="543383EB">
      <w:pPr>
        <w:spacing w:before="120" w:after="120" w:line="288" w:lineRule="auto"/>
        <w:ind w:left="0"/>
        <w:jc w:val="left"/>
        <w:rPr>
          <w:rFonts w:hint="eastAsia" w:ascii="Arial" w:hAnsi="Arial" w:eastAsia="等线" w:cs="Arial"/>
          <w:b/>
          <w:bCs/>
          <w:sz w:val="28"/>
          <w:szCs w:val="28"/>
        </w:rPr>
      </w:pPr>
      <w:r>
        <w:rPr>
          <w:rFonts w:hint="eastAsia" w:ascii="Arial" w:hAnsi="Arial" w:eastAsia="等线" w:cs="Arial"/>
          <w:b/>
          <w:bCs/>
          <w:sz w:val="28"/>
          <w:szCs w:val="28"/>
        </w:rPr>
        <w:t>挂靠≠虚开：建筑业常见经营模式的增值税合规改造</w:t>
      </w:r>
    </w:p>
    <w:p w14:paraId="2AD9D121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内容：合同重构、资金流规范、发票合规、账务处理</w:t>
      </w:r>
    </w:p>
    <w:p w14:paraId="2248250C">
      <w:pPr>
        <w:spacing w:before="300" w:after="120" w:line="288" w:lineRule="auto"/>
        <w:ind w:left="0"/>
        <w:jc w:val="left"/>
        <w:outlineLvl w:val="2"/>
        <w:rPr>
          <w:rFonts w:hint="eastAsia" w:ascii="Arial" w:hAnsi="Arial" w:eastAsia="等线" w:cs="Arial"/>
          <w:b/>
          <w:sz w:val="30"/>
        </w:rPr>
      </w:pPr>
      <w:r>
        <w:rPr>
          <w:rFonts w:hint="eastAsia" w:ascii="Arial" w:hAnsi="Arial" w:eastAsia="等线" w:cs="Arial"/>
          <w:b/>
          <w:sz w:val="30"/>
        </w:rPr>
        <w:t>模块 12：全流程自查与稽查应对 ——2 天实战落地总结</w:t>
      </w:r>
    </w:p>
    <w:p w14:paraId="409FDB56">
      <w:pPr>
        <w:spacing w:before="120" w:after="120" w:line="288" w:lineRule="auto"/>
        <w:ind w:left="0"/>
        <w:jc w:val="left"/>
        <w:rPr>
          <w:rFonts w:hint="eastAsia" w:ascii="Arial" w:hAnsi="Arial" w:eastAsia="等线" w:cs="Arial"/>
          <w:b/>
          <w:bCs/>
          <w:sz w:val="28"/>
          <w:szCs w:val="28"/>
        </w:rPr>
      </w:pPr>
      <w:r>
        <w:rPr>
          <w:rFonts w:hint="eastAsia" w:ascii="Arial" w:hAnsi="Arial" w:eastAsia="等线" w:cs="Arial"/>
          <w:b/>
          <w:bCs/>
          <w:sz w:val="28"/>
          <w:szCs w:val="28"/>
        </w:rPr>
        <w:t>建筑企业增值税风险自查表 + 稽查应对实战</w:t>
      </w:r>
    </w:p>
    <w:p w14:paraId="2A779061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内容：年度自查要点、稽查常见问题、证据链准备、异议处理</w:t>
      </w:r>
    </w:p>
    <w:p w14:paraId="01C4D24D">
      <w:pPr>
        <w:rPr>
          <w:rFonts w:hint="eastAsia"/>
        </w:rPr>
      </w:pPr>
      <w:bookmarkStart w:id="14" w:name="_GoBack"/>
      <w:bookmarkEnd w:id="14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67CF5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AAE0C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2183B"/>
    <w:rsid w:val="348063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1334</Words>
  <Characters>1368</Characters>
  <TotalTime>0</TotalTime>
  <ScaleCrop>false</ScaleCrop>
  <LinksUpToDate>false</LinksUpToDate>
  <CharactersWithSpaces>1382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2026-03-31T09:39:00Z</dcterms:created>
  <dc:creator>Apache POI</dc:creator>
  <cp:lastModifiedBy>程译葳</cp:lastModifiedBy>
  <dcterms:modified xsi:type="dcterms:W3CDTF">2026-04-03T08:27:50Z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eyJoZGlkIjoiYTMzMzdjYzQyZTNhMzNkOTkwY2FiODdjNzk1MjBiZWQiLCJ1c2VySWQiOiIyODMxNDgzMDIifQ==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DB1EA08FD481431980CD6BFA3DE4AC63_13</vt:lpwstr>
  </property>
</Properties>
</file>